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03629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</w:t>
      </w:r>
      <w:r>
        <w:rPr>
          <w:rFonts w:hint="eastAsia" w:ascii="Arial" w:hAnsi="Arial" w:cs="Arial"/>
          <w:sz w:val="22"/>
          <w:lang w:val="en-US" w:eastAsia="zh-CN"/>
        </w:rPr>
        <w:t xml:space="preserve"> HPUE for FDD bands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7.20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China Unicom, Skyworks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/>
    <w:p>
      <w:pPr>
        <w:pStyle w:val="2"/>
      </w:pPr>
      <w:r>
        <w:t xml:space="preserve">&lt;Topic </w:t>
      </w:r>
      <w:r>
        <w:rPr>
          <w:rFonts w:hint="eastAsia" w:eastAsia="宋体"/>
          <w:lang w:val="en-US" w:eastAsia="zh-CN"/>
        </w:rPr>
        <w:t>1 A-MPR</w:t>
      </w:r>
      <w:r>
        <w:t>&gt;</w:t>
      </w:r>
    </w:p>
    <w:p/>
    <w:p>
      <w:pPr>
        <w:pStyle w:val="3"/>
        <w:rPr>
          <w:rFonts w:hint="default" w:eastAsia="宋体"/>
          <w:lang w:val="en-US"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 xml:space="preserve">1-1 </w:t>
      </w:r>
      <w:r>
        <w:rPr>
          <w:rFonts w:eastAsia="宋体"/>
          <w:lang w:val="en-US" w:eastAsia="zh-CN"/>
        </w:rPr>
        <w:t>HPUE with dual Tx</w:t>
      </w:r>
      <w:r>
        <w:rPr>
          <w:rFonts w:hint="eastAsia" w:eastAsia="宋体"/>
          <w:lang w:val="en-US" w:eastAsia="zh-CN"/>
        </w:rPr>
        <w:t>&gt;</w:t>
      </w:r>
    </w:p>
    <w:p>
      <w:pPr>
        <w:tabs>
          <w:tab w:val="left" w:pos="1360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 w:eastAsia="zh-CN"/>
        </w:rPr>
      </w:pPr>
      <w:r>
        <w:rPr>
          <w:bCs/>
          <w:lang w:val="en-US" w:eastAsia="zh-CN"/>
        </w:rPr>
        <w:t>The h</w:t>
      </w:r>
      <w:r>
        <w:rPr>
          <w:b w:val="0"/>
          <w:bCs/>
          <w:lang w:val="en-US" w:eastAsia="zh-CN"/>
        </w:rPr>
        <w:t xml:space="preserve">andling </w:t>
      </w:r>
      <w:r>
        <w:rPr>
          <w:bCs/>
          <w:lang w:val="en-US" w:eastAsia="zh-CN"/>
        </w:rPr>
        <w:t>of HPUE with dual Tx requires special attention. When NR-U PC3 was specified, a separate table was introduced for dual Tx. While this might offer the clearest solution in terms of explicitly defined values it creates considerable work and more cluttering.</w:t>
      </w:r>
    </w:p>
    <w:p>
      <w:pPr>
        <w:tabs>
          <w:tab w:val="left" w:pos="1360"/>
        </w:tabs>
        <w:overflowPunct/>
        <w:autoSpaceDE/>
        <w:autoSpaceDN/>
        <w:adjustRightInd/>
        <w:spacing w:after="120"/>
        <w:jc w:val="both"/>
        <w:textAlignment w:val="auto"/>
        <w:rPr>
          <w:b w:val="0"/>
          <w:bCs/>
          <w:lang w:val="en-US" w:eastAsia="zh-CN"/>
        </w:rPr>
      </w:pPr>
      <w:r>
        <w:rPr>
          <w:bCs/>
          <w:lang w:val="en-US" w:eastAsia="zh-CN"/>
        </w:rPr>
        <w:t xml:space="preserve">Companies are therefore asked to provide their views and proposals to efficiently solve the challenges with specifying A-MPR for dual Tx. 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lang w:val="en-US" w:eastAsia="zh-CN"/>
        </w:rPr>
      </w:pPr>
      <w:r>
        <w:rPr>
          <w:b/>
          <w:lang w:val="en-US" w:eastAsia="zh-CN"/>
        </w:rPr>
        <w:t>&lt;Way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3"/>
        <w:numPr>
          <w:ilvl w:val="0"/>
          <w:numId w:val="1"/>
        </w:numPr>
        <w:overflowPunct/>
        <w:autoSpaceDE/>
        <w:autoSpaceDN/>
        <w:adjustRightInd/>
        <w:spacing w:after="120"/>
        <w:ind w:left="360" w:hanging="36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 Limit the dual-Tx UE A-MPR to be at most 3 dB higher than PC3, while allowing the extra [2] dB relaxation within this boundary.</w:t>
      </w:r>
    </w:p>
    <w:p>
      <w:pPr>
        <w:pStyle w:val="73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 Introduce dedicated A-MPR for PC2 with dual Tx (as has been done for other NS flags such as NS_60).</w:t>
      </w:r>
    </w:p>
    <w:p>
      <w:pPr>
        <w:pStyle w:val="73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Option 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: </w:t>
      </w:r>
    </w:p>
    <w:p>
      <w:pPr>
        <w:pStyle w:val="73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Void Note 7 from Table 6.2.3.1-1,</w:t>
      </w:r>
    </w:p>
    <w:p>
      <w:pPr>
        <w:pStyle w:val="73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Limit the single-Tx and dual-Tx PC2 FDD A-MPR to be at most 3dB higher than PC3 A-MPR,</w:t>
      </w:r>
    </w:p>
    <w:p>
      <w:pPr>
        <w:pStyle w:val="73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Capture the dual-Tx A-MPR additional relaxation for each affected NS flag.</w:t>
      </w:r>
    </w:p>
    <w:p>
      <w:pPr>
        <w:pStyle w:val="73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We invite companies to study how to best capture the dual-Tx additional relaxation: </w:t>
      </w:r>
    </w:p>
    <w:p>
      <w:pPr>
        <w:pStyle w:val="73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separate table from PC2 single Tx?</w:t>
      </w:r>
    </w:p>
    <w:p>
      <w:pPr>
        <w:pStyle w:val="73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footnote to single-Tx PC2 A-MPR for each regions?</w:t>
      </w:r>
    </w:p>
    <w:p>
      <w:pPr>
        <w:pStyle w:val="73"/>
        <w:numPr>
          <w:ilvl w:val="2"/>
          <w:numId w:val="1"/>
        </w:numPr>
        <w:overflowPunct/>
        <w:autoSpaceDE/>
        <w:autoSpaceDN/>
        <w:adjustRightInd/>
        <w:spacing w:after="120"/>
        <w:ind w:left="1800" w:hanging="360" w:firstLineChars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any other approach not precluded.</w:t>
      </w:r>
    </w:p>
    <w:p>
      <w:pPr>
        <w:pStyle w:val="73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Other </w:t>
      </w:r>
      <w:r>
        <w:rPr>
          <w:rFonts w:eastAsia="宋体"/>
          <w:lang w:val="en-US" w:eastAsia="zh-CN"/>
        </w:rPr>
        <w:t>Option</w:t>
      </w:r>
      <w:r>
        <w:rPr>
          <w:rFonts w:hint="eastAsia" w:eastAsia="宋体"/>
          <w:lang w:val="en-US" w:eastAsia="zh-CN"/>
        </w:rPr>
        <w:t>s are not precluded.</w:t>
      </w:r>
    </w:p>
    <w:p>
      <w:pPr>
        <w:rPr>
          <w:lang w:val="en-US" w:eastAsia="zh-CN"/>
        </w:rPr>
      </w:pPr>
    </w:p>
    <w:p>
      <w:pPr>
        <w:rPr>
          <w:lang w:eastAsia="zh-CN"/>
        </w:rPr>
      </w:pPr>
    </w:p>
    <w:p>
      <w:pPr>
        <w:pStyle w:val="3"/>
      </w:pPr>
      <w:r>
        <w:t xml:space="preserve">&lt;Sub-topic </w:t>
      </w:r>
      <w:r>
        <w:rPr>
          <w:rFonts w:hint="eastAsia" w:eastAsia="宋体"/>
          <w:lang w:val="en-US" w:eastAsia="zh-CN"/>
        </w:rPr>
        <w:t>1-</w:t>
      </w:r>
      <w:r>
        <w:rPr>
          <w:rFonts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 xml:space="preserve"> NS_07 (A-MPR for n13 PC2)</w:t>
      </w:r>
      <w:r>
        <w:t>&gt;</w:t>
      </w:r>
    </w:p>
    <w:p>
      <w:r>
        <w:t>RB region and A-MPR tables are the result of merging company contributions:</w:t>
      </w:r>
    </w:p>
    <w:p>
      <w:pPr>
        <w:pStyle w:val="66"/>
        <w:rPr>
          <w:b w:val="0"/>
          <w:bCs/>
        </w:rPr>
      </w:pPr>
      <w:r>
        <w:rPr>
          <w:b w:val="0"/>
          <w:bCs/>
        </w:rPr>
        <w:t>Table 1: A-MPR regions for NS_07 (PC2)</w:t>
      </w:r>
    </w:p>
    <w:tbl>
      <w:tblPr>
        <w:tblStyle w:val="44"/>
        <w:tblW w:w="7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1276"/>
        <w:gridCol w:w="1691"/>
        <w:gridCol w:w="170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shd w:val="clear" w:color="auto" w:fill="auto"/>
          </w:tcPr>
          <w:p>
            <w:pPr>
              <w:pStyle w:val="64"/>
              <w:rPr>
                <w:lang w:eastAsia="ko-KR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64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r>
              <w:rPr>
                <w:lang w:eastAsia="ko-KR"/>
              </w:rPr>
              <w:t>*12*SCS</w:t>
            </w:r>
          </w:p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>
            <w:pPr>
              <w:pStyle w:val="64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 xml:space="preserve">&gt; 0.9,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 xml:space="preserve">&gt; 1.26,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vMerge w:val="continue"/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vMerge w:val="continue"/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vMerge w:val="continue"/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vMerge w:val="continue"/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 xml:space="preserve">&gt;1.26,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>2.16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≥1.26, &lt;1.8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vMerge w:val="continue"/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vMerge w:val="continue"/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&gt;3.06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 xml:space="preserve">&gt;2.34,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 xml:space="preserve">&gt; 3.24,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&gt;3.24, ≤6.48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≥1.8, &lt;3.24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&gt;0.36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</w:tbl>
    <w:p/>
    <w:p>
      <w:pPr>
        <w:pStyle w:val="66"/>
        <w:rPr>
          <w:b w:val="0"/>
          <w:bCs/>
          <w:lang w:val="en-US"/>
        </w:rPr>
      </w:pPr>
      <w:r>
        <w:rPr>
          <w:b w:val="0"/>
          <w:bCs/>
        </w:rPr>
        <w:t xml:space="preserve">Table 2: A-MPR for NS_07 (PC2 </w:t>
      </w:r>
      <w:r>
        <w:rPr>
          <w:rFonts w:eastAsia="宋体" w:cs="Arial"/>
          <w:b w:val="0"/>
          <w:bCs/>
          <w:color w:val="000000"/>
          <w:sz w:val="19"/>
          <w:szCs w:val="19"/>
          <w:lang w:eastAsia="en-US"/>
        </w:rPr>
        <w:t>with single Tx</w:t>
      </w:r>
      <w:r>
        <w:rPr>
          <w:b w:val="0"/>
          <w:bCs/>
        </w:rPr>
        <w:t>)</w:t>
      </w:r>
    </w:p>
    <w:tbl>
      <w:tblPr>
        <w:tblStyle w:val="44"/>
        <w:tblW w:w="7760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5"/>
        <w:gridCol w:w="1111"/>
        <w:gridCol w:w="1111"/>
        <w:gridCol w:w="1111"/>
        <w:gridCol w:w="1111"/>
        <w:gridCol w:w="111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4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A4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4"/>
              <w:rPr>
                <w:lang w:val="zh-CN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11.5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11.5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11.5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11.5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</w:tbl>
    <w:p/>
    <w:p/>
    <w:p>
      <w:pPr>
        <w:pStyle w:val="66"/>
        <w:rPr>
          <w:b w:val="0"/>
          <w:bCs/>
          <w:lang w:val="en-US"/>
        </w:rPr>
      </w:pPr>
      <w:r>
        <w:rPr>
          <w:b w:val="0"/>
          <w:bCs/>
        </w:rPr>
        <w:t xml:space="preserve">Table 3: A-MPR for NS_07 (PC2 </w:t>
      </w:r>
      <w:r>
        <w:rPr>
          <w:rFonts w:eastAsia="宋体" w:cs="Arial"/>
          <w:b w:val="0"/>
          <w:bCs/>
          <w:color w:val="000000"/>
          <w:sz w:val="19"/>
          <w:szCs w:val="19"/>
          <w:lang w:eastAsia="en-US"/>
        </w:rPr>
        <w:t>with dual Tx</w:t>
      </w:r>
      <w:r>
        <w:rPr>
          <w:b w:val="0"/>
          <w:bCs/>
        </w:rPr>
        <w:t xml:space="preserve">) [in case of Sub-topic 1-1, Option </w:t>
      </w:r>
      <w:r>
        <w:rPr>
          <w:rFonts w:hint="eastAsia" w:eastAsia="宋体"/>
          <w:b w:val="0"/>
          <w:bCs/>
          <w:lang w:val="en-US" w:eastAsia="zh-CN"/>
        </w:rPr>
        <w:t>2</w:t>
      </w:r>
      <w:r>
        <w:rPr>
          <w:b w:val="0"/>
          <w:bCs/>
        </w:rPr>
        <w:t xml:space="preserve">] </w:t>
      </w:r>
    </w:p>
    <w:tbl>
      <w:tblPr>
        <w:tblStyle w:val="44"/>
        <w:tblW w:w="7760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5"/>
        <w:gridCol w:w="1111"/>
        <w:gridCol w:w="1111"/>
        <w:gridCol w:w="1111"/>
        <w:gridCol w:w="1111"/>
        <w:gridCol w:w="111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4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A4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4"/>
              <w:rPr>
                <w:lang w:val="zh-CN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9.0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17.0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17.0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17.0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17.0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13.0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4.0</w:t>
            </w:r>
          </w:p>
        </w:tc>
      </w:tr>
    </w:tbl>
    <w:p/>
    <w:p>
      <w:pPr>
        <w:pStyle w:val="66"/>
        <w:rPr>
          <w:b w:val="0"/>
          <w:bCs/>
        </w:rPr>
      </w:pPr>
      <w:r>
        <w:rPr>
          <w:b w:val="0"/>
          <w:bCs/>
        </w:rPr>
        <w:t xml:space="preserve">Table 3-bis: dual-Tx PC2 additional A-MPR relaxation from single-Tx PC2 A-MPR for NS_07 </w:t>
      </w:r>
    </w:p>
    <w:p>
      <w:pPr>
        <w:pStyle w:val="66"/>
        <w:rPr>
          <w:b w:val="0"/>
          <w:bCs/>
        </w:rPr>
      </w:pPr>
      <w:r>
        <w:rPr>
          <w:b w:val="0"/>
          <w:bCs/>
        </w:rPr>
        <w:t xml:space="preserve">[in case of Sub-topic 1-1, Option </w:t>
      </w:r>
      <w:r>
        <w:rPr>
          <w:rFonts w:hint="eastAsia" w:eastAsia="宋体"/>
          <w:b w:val="0"/>
          <w:bCs/>
          <w:lang w:val="en-US" w:eastAsia="zh-CN"/>
        </w:rPr>
        <w:t>3</w:t>
      </w:r>
      <w:r>
        <w:rPr>
          <w:b w:val="0"/>
          <w:bCs/>
        </w:rPr>
        <w:t xml:space="preserve">] </w:t>
      </w:r>
    </w:p>
    <w:tbl>
      <w:tblPr>
        <w:tblStyle w:val="44"/>
        <w:tblW w:w="7760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5"/>
        <w:gridCol w:w="1111"/>
        <w:gridCol w:w="1111"/>
        <w:gridCol w:w="1111"/>
        <w:gridCol w:w="1111"/>
        <w:gridCol w:w="111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4"/>
            </w:pPr>
            <w: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A4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4"/>
              <w:rPr>
                <w:lang w:val="zh-CN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4"/>
            </w:pPr>
            <w:r>
              <w:t>Outer/Inner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All modulations and all waveforms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0.0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58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0.0</w:t>
            </w:r>
          </w:p>
        </w:tc>
      </w:tr>
    </w:tbl>
    <w:p/>
    <w:p/>
    <w:p>
      <w:pPr>
        <w:rPr>
          <w:lang w:eastAsia="zh-CN"/>
        </w:rPr>
      </w:pPr>
    </w:p>
    <w:p>
      <w:pPr>
        <w:pStyle w:val="73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val="en-US" w:eastAsia="zh-CN"/>
        </w:rPr>
        <w:t>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3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en-GB" w:eastAsia="zh-CN"/>
        </w:rPr>
      </w:pPr>
      <w:r>
        <w:rPr>
          <w:rFonts w:hint="eastAsia" w:eastAsia="宋体"/>
          <w:lang w:val="en-US" w:eastAsia="zh-CN"/>
        </w:rPr>
        <w:t>Further check whether</w:t>
      </w:r>
      <w:r>
        <w:rPr>
          <w:lang w:val="en-US"/>
        </w:rPr>
        <w:t xml:space="preserve"> NS_07 </w:t>
      </w:r>
      <w:r>
        <w:rPr>
          <w:rFonts w:hint="eastAsia"/>
          <w:lang w:val="en-US"/>
        </w:rPr>
        <w:t>A-MPR for PC2 with single-Tx</w:t>
      </w:r>
      <w:r>
        <w:rPr>
          <w:rFonts w:hint="eastAsia" w:eastAsia="宋体"/>
          <w:lang w:val="en-US" w:eastAsia="zh-CN"/>
        </w:rPr>
        <w:t xml:space="preserve"> can be specified </w:t>
      </w:r>
      <w:r>
        <w:rPr>
          <w:lang w:val="en-US"/>
        </w:rPr>
        <w:t>by introducing Tables 1 and 2 to 38.101-1.</w:t>
      </w:r>
    </w:p>
    <w:p>
      <w:pPr>
        <w:pStyle w:val="73"/>
        <w:numPr>
          <w:ilvl w:val="0"/>
          <w:numId w:val="2"/>
        </w:numPr>
        <w:overflowPunct/>
        <w:autoSpaceDE/>
        <w:autoSpaceDN/>
        <w:adjustRightInd/>
        <w:spacing w:after="120"/>
        <w:ind w:left="1080" w:hanging="360" w:firstLineChars="0"/>
        <w:textAlignment w:val="auto"/>
        <w:rPr>
          <w:lang w:eastAsia="zh-CN"/>
        </w:rPr>
      </w:pPr>
      <w:r>
        <w:rPr>
          <w:lang w:val="en-US"/>
        </w:rPr>
        <w:t xml:space="preserve">Table 3 is a showcase how A-MPR could end up in case Option 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is selected in Sub-topic 1-1</w:t>
      </w:r>
    </w:p>
    <w:p>
      <w:pPr>
        <w:pStyle w:val="73"/>
        <w:numPr>
          <w:ilvl w:val="0"/>
          <w:numId w:val="2"/>
        </w:numPr>
        <w:overflowPunct/>
        <w:autoSpaceDE/>
        <w:autoSpaceDN/>
        <w:adjustRightInd/>
        <w:spacing w:after="120"/>
        <w:ind w:left="1080" w:hanging="360" w:firstLineChars="0"/>
        <w:textAlignment w:val="auto"/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Table 3-bis </w:t>
      </w:r>
      <w:r>
        <w:rPr>
          <w:rFonts w:eastAsia="Yu Mincho"/>
        </w:rPr>
        <w:t>as one example (to be further studied) of how the dual-TX A-MPR relaxation could be captured for sub-topic 1-1 option</w:t>
      </w:r>
      <w:r>
        <w:rPr>
          <w:rFonts w:hint="eastAsia" w:eastAsia="宋体"/>
          <w:lang w:val="en-US" w:eastAsia="zh-CN"/>
        </w:rPr>
        <w:t>3</w:t>
      </w:r>
      <w:r>
        <w:rPr>
          <w:rFonts w:eastAsia="Yu Mincho"/>
        </w:rPr>
        <w:t>.</w:t>
      </w:r>
    </w:p>
    <w:p>
      <w:pPr>
        <w:rPr>
          <w:lang w:eastAsia="zh-CN"/>
        </w:rPr>
      </w:pPr>
    </w:p>
    <w:p/>
    <w:p>
      <w:pPr>
        <w:rPr>
          <w:rFonts w:ascii="Arial" w:hAnsi="Arial" w:eastAsia="宋体"/>
          <w:sz w:val="32"/>
          <w:lang w:val="en-US" w:eastAsia="zh-CN"/>
        </w:rPr>
      </w:pP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&lt;Sub-topic 1-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A-MPR and related issues for n28 PC2&gt;</w:t>
      </w:r>
    </w:p>
    <w:p>
      <w:pPr>
        <w:pStyle w:val="73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&lt;Agreement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3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For a UE implementing the dual-duplexer on band n28, no A-MPR for NS_17 is needed for PC2 as well as PC3, for BW of 5MHz and 10MHz.</w:t>
      </w:r>
    </w:p>
    <w:p>
      <w:pPr>
        <w:pStyle w:val="73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</w:p>
    <w:p>
      <w:pPr>
        <w:pStyle w:val="73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numPr>
          <w:ilvl w:val="0"/>
          <w:numId w:val="3"/>
        </w:numPr>
        <w:ind w:left="0" w:firstLine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Continue work on NS_17 A-MPR requirements.</w:t>
      </w:r>
    </w:p>
    <w:p>
      <w:pPr>
        <w:rPr>
          <w:rFonts w:eastAsia="宋体"/>
          <w:lang w:val="en-US" w:eastAsia="zh-CN"/>
        </w:rPr>
      </w:pPr>
    </w:p>
    <w:p>
      <w:pPr>
        <w:pStyle w:val="3"/>
        <w:rPr>
          <w:lang w:val="en-US" w:eastAsia="zh-CN"/>
        </w:rPr>
      </w:pPr>
      <w:r>
        <w:t xml:space="preserve">&lt;Sub-topic </w:t>
      </w:r>
      <w:r>
        <w:rPr>
          <w:rFonts w:hint="eastAsia"/>
          <w:lang w:val="en-US" w:eastAsia="zh-CN"/>
        </w:rPr>
        <w:t>1</w:t>
      </w:r>
      <w:r>
        <w:t>-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 NS_46 (A-MPR for n7 PC2)</w:t>
      </w:r>
      <w:r>
        <w:t>&gt;</w:t>
      </w:r>
    </w:p>
    <w:p>
      <w:pPr>
        <w:spacing w:after="120" w:afterLines="50"/>
        <w:ind w:firstLine="420"/>
        <w:rPr>
          <w:lang w:val="en-US" w:eastAsia="zh-CN"/>
        </w:rPr>
      </w:pPr>
      <w:r>
        <w:rPr>
          <w:rFonts w:hint="eastAsia"/>
          <w:b/>
          <w:lang w:val="en-US" w:eastAsia="zh-CN"/>
        </w:rPr>
        <w:t>&lt;</w:t>
      </w:r>
      <w:r>
        <w:rPr>
          <w:b/>
          <w:lang w:eastAsia="zh-CN"/>
        </w:rPr>
        <w:t>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4"/>
        </w:numPr>
        <w:spacing w:after="12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Try to finalize the results for NS_46 by merging the A-MPR regions and values in </w:t>
      </w:r>
      <w:r>
        <w:rPr>
          <w:rFonts w:eastAsia="Yu Mincho"/>
        </w:rPr>
        <w:t>R4-240017</w:t>
      </w:r>
      <w:r>
        <w:rPr>
          <w:rFonts w:hint="eastAsia"/>
          <w:lang w:val="en-US" w:eastAsia="zh-CN"/>
        </w:rPr>
        <w:t xml:space="preserve">1, </w:t>
      </w:r>
      <w:r>
        <w:rPr>
          <w:rFonts w:hint="eastAsia" w:eastAsia="宋体"/>
          <w:szCs w:val="24"/>
          <w:lang w:val="en-US" w:eastAsia="zh-CN"/>
        </w:rPr>
        <w:t>R4-24</w:t>
      </w:r>
      <w:r>
        <w:rPr>
          <w:rFonts w:eastAsia="Yu Mincho"/>
        </w:rPr>
        <w:t>0221</w:t>
      </w:r>
      <w:r>
        <w:rPr>
          <w:rFonts w:hint="eastAsia" w:eastAsia="Yu Mincho"/>
          <w:lang w:val="en-US" w:eastAsia="zh-CN"/>
        </w:rPr>
        <w:t xml:space="preserve">3, </w:t>
      </w:r>
      <w:r>
        <w:rPr>
          <w:rFonts w:eastAsia="Yu Mincho"/>
        </w:rPr>
        <w:t>R4-2402742</w:t>
      </w:r>
      <w:r>
        <w:rPr>
          <w:rFonts w:hint="eastAsia" w:eastAsia="宋体"/>
          <w:szCs w:val="24"/>
          <w:lang w:val="en-US" w:eastAsia="zh-CN"/>
        </w:rPr>
        <w:t>.</w:t>
      </w:r>
    </w:p>
    <w:p>
      <w:pPr>
        <w:numPr>
          <w:ilvl w:val="0"/>
          <w:numId w:val="4"/>
        </w:numPr>
        <w:spacing w:after="120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 check the following candidate solution from </w:t>
      </w:r>
      <w:r>
        <w:rPr>
          <w:rFonts w:eastAsia="Yu Mincho"/>
        </w:rPr>
        <w:t>R4-240017</w:t>
      </w:r>
      <w:r>
        <w:rPr>
          <w:rFonts w:hint="eastAsia"/>
          <w:lang w:val="en-US" w:eastAsia="zh-CN"/>
        </w:rPr>
        <w:t>1:</w:t>
      </w:r>
    </w:p>
    <w:p>
      <w:pPr>
        <w:pStyle w:val="66"/>
        <w:rPr>
          <w:rFonts w:ascii="Times New Roman" w:hAnsi="Times New Roman"/>
          <w:b w:val="0"/>
          <w:bCs/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/>
          <w:b w:val="0"/>
          <w:bCs/>
        </w:rPr>
        <w:t>Table 7: A-MPR regions for NS_46 for PC2 (Red colour indicates differences to [</w:t>
      </w:r>
      <w:r>
        <w:rPr>
          <w:rFonts w:hint="eastAsia" w:ascii="Times New Roman" w:hAnsi="Times New Roman"/>
          <w:b w:val="0"/>
          <w:bCs/>
        </w:rPr>
        <w:t>R4-2320669</w:t>
      </w:r>
      <w:r>
        <w:rPr>
          <w:rFonts w:ascii="Times New Roman" w:hAnsi="Times New Roman"/>
          <w:b w:val="0"/>
          <w:bCs/>
        </w:rPr>
        <w:t>])</w:t>
      </w:r>
    </w:p>
    <w:tbl>
      <w:tblPr>
        <w:tblStyle w:val="44"/>
        <w:tblW w:w="8432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9"/>
        <w:gridCol w:w="2002"/>
        <w:gridCol w:w="1480"/>
        <w:gridCol w:w="29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Channel Bandwidth,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Regions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RB</w:t>
            </w:r>
            <w:r>
              <w:rPr>
                <w:sz w:val="16"/>
                <w:vertAlign w:val="subscript"/>
              </w:rPr>
              <w:t>end</w:t>
            </w:r>
            <w:r>
              <w:rPr>
                <w:sz w:val="16"/>
              </w:rPr>
              <w:t>*12*SCS</w:t>
            </w:r>
          </w:p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MHz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z w:val="16"/>
                <w:vertAlign w:val="subscript"/>
              </w:rPr>
              <w:t>CRB</w:t>
            </w:r>
            <w:r>
              <w:rPr>
                <w:sz w:val="16"/>
              </w:rPr>
              <w:t>*12*SCS</w:t>
            </w:r>
          </w:p>
          <w:p>
            <w:pPr>
              <w:pStyle w:val="64"/>
              <w:rPr>
                <w:sz w:val="16"/>
              </w:rPr>
            </w:pPr>
            <w:r>
              <w:rPr>
                <w:sz w:val="16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  <w:r>
              <w:rPr>
                <w:sz w:val="16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>
              <w:rPr>
                <w:rFonts w:eastAsia="MS PGothic" w:cs="Arial"/>
                <w:color w:val="FF0000"/>
                <w:kern w:val="24"/>
                <w:sz w:val="16"/>
                <w:szCs w:val="18"/>
                <w:lang w:eastAsia="ja-JP"/>
              </w:rPr>
              <w:t>2555</w:t>
            </w:r>
            <w:r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2565</w:t>
            </w:r>
          </w:p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 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7.92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color w:val="FF0000"/>
                <w:kern w:val="2"/>
                <w:sz w:val="16"/>
                <w:szCs w:val="18"/>
              </w:rPr>
            </w:pPr>
            <w:r>
              <w:rPr>
                <w:rFonts w:eastAsia="Calibri"/>
                <w:color w:val="FF0000"/>
                <w:kern w:val="2"/>
                <w:sz w:val="16"/>
                <w:szCs w:val="18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5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7.92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2.16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color w:val="FF0000"/>
                <w:kern w:val="2"/>
                <w:sz w:val="16"/>
                <w:szCs w:val="18"/>
              </w:rPr>
            </w:pPr>
            <w:r>
              <w:rPr>
                <w:rFonts w:eastAsia="Calibri"/>
                <w:color w:val="FF0000"/>
                <w:kern w:val="2"/>
                <w:sz w:val="16"/>
                <w:szCs w:val="18"/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  <w:r>
              <w:rPr>
                <w:sz w:val="16"/>
              </w:rPr>
              <w:t>15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>
              <w:rPr>
                <w:rFonts w:eastAsia="MS PGothic" w:cs="Arial"/>
                <w:color w:val="FF0000"/>
                <w:kern w:val="24"/>
                <w:sz w:val="16"/>
                <w:szCs w:val="18"/>
                <w:lang w:eastAsia="ja-JP"/>
              </w:rPr>
              <w:t>2547.5</w:t>
            </w:r>
            <w:r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  <w:tc>
          <w:tcPr>
            <w:tcW w:w="1480" w:type="dxa"/>
            <w:tcBorders>
              <w:top w:val="single" w:color="13161E" w:sz="8" w:space="0"/>
              <w:left w:val="single" w:color="auto" w:sz="4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 xml:space="preserve">≥ </w:t>
            </w:r>
            <w:r>
              <w:rPr>
                <w:rFonts w:eastAsia="Calibri"/>
                <w:kern w:val="2"/>
                <w:sz w:val="16"/>
                <w:szCs w:val="18"/>
              </w:rPr>
              <w:t>11.16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kern w:val="2"/>
                <w:sz w:val="16"/>
                <w:szCs w:val="18"/>
              </w:rPr>
            </w:pPr>
            <w:r>
              <w:rPr>
                <w:rFonts w:eastAsia="Calibri"/>
                <w:kern w:val="2"/>
                <w:sz w:val="16"/>
                <w:szCs w:val="18"/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auto" w:sz="4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>≥</w:t>
            </w:r>
            <w:r>
              <w:rPr>
                <w:rFonts w:eastAsia="Calibri"/>
                <w:kern w:val="2"/>
                <w:sz w:val="16"/>
                <w:szCs w:val="18"/>
              </w:rPr>
              <w:t xml:space="preserve"> 11.16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7.2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kern w:val="2"/>
                <w:sz w:val="16"/>
                <w:szCs w:val="18"/>
              </w:rPr>
            </w:pPr>
            <w:r>
              <w:rPr>
                <w:rFonts w:eastAsia="Calibri"/>
                <w:kern w:val="2"/>
                <w:sz w:val="16"/>
                <w:szCs w:val="18"/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  <w:r>
              <w:rPr>
                <w:sz w:val="16"/>
              </w:rPr>
              <w:t>20 MHz</w:t>
            </w:r>
          </w:p>
        </w:tc>
        <w:tc>
          <w:tcPr>
            <w:tcW w:w="20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>
              <w:rPr>
                <w:rFonts w:eastAsia="MS PGothic" w:cs="Arial"/>
                <w:color w:val="FF0000"/>
                <w:kern w:val="24"/>
                <w:sz w:val="16"/>
                <w:szCs w:val="18"/>
                <w:lang w:eastAsia="ja-JP"/>
              </w:rPr>
              <w:t>2540</w:t>
            </w:r>
            <w:r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  <w:tc>
          <w:tcPr>
            <w:tcW w:w="1480" w:type="dxa"/>
            <w:tcBorders>
              <w:top w:val="single" w:color="13161E" w:sz="8" w:space="0"/>
              <w:left w:val="single" w:color="auto" w:sz="4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>≥</w:t>
            </w:r>
            <w:r>
              <w:rPr>
                <w:rFonts w:eastAsia="Calibri"/>
                <w:kern w:val="2"/>
                <w:sz w:val="16"/>
                <w:szCs w:val="18"/>
              </w:rPr>
              <w:t xml:space="preserve">12.6, </w:t>
            </w:r>
            <w:r>
              <w:rPr>
                <w:rFonts w:eastAsia="Calibri" w:cs="Arial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>≥ 10.8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kern w:val="2"/>
                <w:sz w:val="16"/>
                <w:szCs w:val="18"/>
              </w:rPr>
            </w:pPr>
            <w:r>
              <w:rPr>
                <w:rFonts w:eastAsia="Calibri"/>
                <w:kern w:val="2"/>
                <w:sz w:val="16"/>
                <w:szCs w:val="18"/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auto" w:sz="4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>≥</w:t>
            </w:r>
            <w:r>
              <w:rPr>
                <w:rFonts w:eastAsia="Calibri"/>
                <w:kern w:val="2"/>
                <w:sz w:val="16"/>
                <w:szCs w:val="18"/>
              </w:rPr>
              <w:t xml:space="preserve"> 15.3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8.64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kern w:val="2"/>
                <w:sz w:val="16"/>
                <w:szCs w:val="18"/>
              </w:rPr>
            </w:pPr>
            <w:r>
              <w:rPr>
                <w:rFonts w:eastAsia="Calibri"/>
                <w:kern w:val="2"/>
                <w:sz w:val="16"/>
                <w:szCs w:val="18"/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z w:val="16"/>
              </w:rPr>
            </w:pPr>
          </w:p>
        </w:tc>
        <w:tc>
          <w:tcPr>
            <w:tcW w:w="20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13161E" w:sz="8" w:space="0"/>
              <w:left w:val="single" w:color="auto" w:sz="4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>≥</w:t>
            </w:r>
            <w:r>
              <w:rPr>
                <w:rFonts w:eastAsia="Calibri"/>
                <w:kern w:val="2"/>
                <w:sz w:val="16"/>
                <w:szCs w:val="18"/>
              </w:rPr>
              <w:t xml:space="preserve"> 14.4, </w:t>
            </w:r>
            <w:r>
              <w:rPr>
                <w:rFonts w:eastAsia="Calibri" w:cs="Arial"/>
                <w:strike/>
                <w:color w:val="FF0000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 w:cs="Arial"/>
                <w:kern w:val="2"/>
                <w:sz w:val="16"/>
                <w:szCs w:val="18"/>
              </w:rPr>
            </w:pPr>
            <w:r>
              <w:rPr>
                <w:rFonts w:eastAsia="Calibri" w:cs="Arial"/>
                <w:kern w:val="2"/>
                <w:sz w:val="16"/>
                <w:szCs w:val="18"/>
              </w:rPr>
              <w:t xml:space="preserve"> </w:t>
            </w:r>
            <w:r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8.64</w:t>
            </w:r>
          </w:p>
        </w:tc>
        <w:tc>
          <w:tcPr>
            <w:tcW w:w="850" w:type="dxa"/>
            <w:tcBorders>
              <w:top w:val="single" w:color="13161E" w:sz="8" w:space="0"/>
              <w:left w:val="single" w:color="13161E" w:sz="8" w:space="0"/>
              <w:bottom w:val="single" w:color="13161E" w:sz="8" w:space="0"/>
              <w:right w:val="single" w:color="13161E" w:sz="8" w:space="0"/>
            </w:tcBorders>
            <w:shd w:val="clear" w:color="auto" w:fill="auto"/>
          </w:tcPr>
          <w:p>
            <w:pPr>
              <w:pStyle w:val="58"/>
              <w:rPr>
                <w:rFonts w:eastAsia="Calibri"/>
                <w:kern w:val="2"/>
                <w:sz w:val="16"/>
                <w:szCs w:val="18"/>
              </w:rPr>
            </w:pPr>
            <w:r>
              <w:rPr>
                <w:rFonts w:eastAsia="Calibri"/>
                <w:kern w:val="2"/>
                <w:sz w:val="16"/>
                <w:szCs w:val="18"/>
              </w:rPr>
              <w:t>A10</w:t>
            </w:r>
          </w:p>
        </w:tc>
      </w:tr>
    </w:tbl>
    <w:p/>
    <w:p>
      <w:pPr>
        <w:pStyle w:val="66"/>
        <w:rPr>
          <w:rFonts w:ascii="Times New Roman" w:hAnsi="Times New Roman"/>
          <w:b w:val="0"/>
          <w:bCs/>
          <w:lang w:val="en-US"/>
        </w:rPr>
      </w:pPr>
      <w:r>
        <w:rPr>
          <w:rFonts w:ascii="Times New Roman" w:hAnsi="Times New Roman"/>
          <w:b w:val="0"/>
          <w:bCs/>
        </w:rPr>
        <w:t xml:space="preserve">Table 8: A-MPR regions for NS_46 for PC2 </w:t>
      </w:r>
    </w:p>
    <w:tbl>
      <w:tblPr>
        <w:tblStyle w:val="44"/>
        <w:tblW w:w="8432" w:type="dxa"/>
        <w:tblInd w:w="7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9"/>
        <w:gridCol w:w="2002"/>
        <w:gridCol w:w="1480"/>
        <w:gridCol w:w="29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Channel Bandwidth,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A-MPR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end</w:t>
            </w:r>
            <w:r>
              <w:rPr>
                <w:lang w:eastAsia="en-GB"/>
              </w:rPr>
              <w:t>*12*SCS</w:t>
            </w:r>
          </w:p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</w:t>
            </w:r>
          </w:p>
          <w:p>
            <w:pPr>
              <w:pStyle w:val="64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25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41"/>
              <w:spacing w:after="0" w:line="256" w:lineRule="auto"/>
              <w:jc w:val="center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 w:themeColor="text1"/>
                <w:kern w:val="2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2512.5 ≤ F</w:t>
            </w:r>
            <w:r>
              <w:rPr>
                <w:rFonts w:ascii="Arial" w:hAnsi="Arial" w:eastAsia="MS PGothic" w:cs="Arial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Arial" w:hAnsi="Arial" w:eastAsia="MS PGothic" w:cs="Arial"/>
                <w:color w:val="000000" w:themeColor="text1"/>
                <w:kern w:val="2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2557.5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Theme="minorHAnsi" w:cstheme="minorBidi"/>
                <w:kern w:val="2"/>
                <w:szCs w:val="22"/>
                <w:lang w:eastAsia="en-GB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&lt; 12.24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&gt;max (0, </w:t>
            </w:r>
            <w:r>
              <w:rPr>
                <w:rFonts w:cs="Arial"/>
                <w:lang w:eastAsia="en-GB"/>
              </w:rPr>
              <w:t>12*SCS*RB</w:t>
            </w:r>
            <w:r>
              <w:rPr>
                <w:rFonts w:cs="Arial"/>
                <w:vertAlign w:val="subscript"/>
                <w:lang w:eastAsia="en-GB"/>
              </w:rPr>
              <w:t>end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- 2.7)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Theme="minorHAnsi" w:cstheme="minorBidi"/>
                <w:color w:val="FF0000"/>
                <w:kern w:val="2"/>
                <w:szCs w:val="22"/>
                <w:lang w:eastAsia="en-GB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 xml:space="preserve">≥ </w:t>
            </w:r>
            <w:r>
              <w:rPr>
                <w:rFonts w:eastAsia="Calibri"/>
                <w:color w:val="FF0000"/>
                <w:kern w:val="2"/>
                <w:szCs w:val="18"/>
              </w:rPr>
              <w:t>0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&gt; 16.02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FF0000"/>
                <w:kern w:val="2"/>
                <w:szCs w:val="18"/>
              </w:rPr>
              <w:t>A9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Theme="minorHAnsi" w:cstheme="minorBidi"/>
                <w:color w:val="FF0000"/>
                <w:kern w:val="2"/>
                <w:szCs w:val="22"/>
                <w:lang w:eastAsia="en-GB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≥</w:t>
            </w:r>
            <w:r>
              <w:rPr>
                <w:rFonts w:eastAsia="Calibri"/>
                <w:color w:val="FF0000"/>
                <w:kern w:val="2"/>
                <w:szCs w:val="18"/>
              </w:rPr>
              <w:t xml:space="preserve"> 0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≥ 12.24, ≤ 16.02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FF0000"/>
                <w:kern w:val="2"/>
                <w:szCs w:val="18"/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Theme="minorHAnsi" w:cstheme="minorBidi"/>
                <w:kern w:val="2"/>
                <w:szCs w:val="22"/>
                <w:lang w:eastAsia="en-GB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17.64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&lt; 12.24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30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2515 ≤ F</w:t>
            </w:r>
            <w:r>
              <w:rPr>
                <w:rFonts w:eastAsia="MS PGothic" w:cs="Arial"/>
                <w:color w:val="000000" w:themeColor="text1"/>
                <w:kern w:val="24"/>
                <w:position w:val="-5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≤ 2555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&lt;1.44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≥1.44, &lt;13.5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-1.8)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≥13.5, &lt;19.8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&gt;11.52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≥19.8, &lt;25.92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20.7 , &lt; 25.92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6.3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35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cs="Arial" w:eastAsiaTheme="minorHAnsi"/>
                <w:kern w:val="2"/>
                <w:szCs w:val="22"/>
                <w:lang w:eastAsia="en-GB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≥</w:t>
            </w:r>
            <w:r>
              <w:rPr>
                <w:rFonts w:eastAsia="MS Mincho"/>
                <w:color w:val="000000"/>
                <w:kern w:val="24"/>
                <w:szCs w:val="18"/>
              </w:rPr>
              <w:t>0</w:t>
            </w:r>
            <w:r>
              <w:rPr>
                <w:rFonts w:eastAsia="MS Mincho" w:cs="Arial"/>
                <w:color w:val="000000"/>
                <w:kern w:val="24"/>
                <w:szCs w:val="18"/>
              </w:rPr>
              <w:t>, &lt;3.42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cs="Arial"/>
                <w:lang w:eastAsia="en-GB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cstheme="minorBidi"/>
                <w:lang w:eastAsia="en-GB"/>
              </w:rPr>
            </w:pPr>
            <w:r>
              <w:rPr>
                <w:rFonts w:eastAsia="MS Mincho"/>
                <w:color w:val="000000"/>
                <w:kern w:val="24"/>
                <w:szCs w:val="18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≥3.42, &lt;15.84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- 3.06)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≥15.84, &lt;22.68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≥22.68, &lt;28.8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24.3 , &lt; 28.8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9.0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40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≥0, </w:t>
            </w:r>
            <w:r>
              <w:rPr>
                <w:rFonts w:eastAsia="Calibri" w:cs="Arial"/>
                <w:kern w:val="2"/>
                <w:szCs w:val="18"/>
              </w:rPr>
              <w:t>&lt;4.14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≥4.14, &lt;5.04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FF0000"/>
                <w:kern w:val="2"/>
                <w:szCs w:val="18"/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A11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FF0000"/>
                <w:kern w:val="2"/>
                <w:szCs w:val="18"/>
              </w:rPr>
              <w:t>≥5.04</w:t>
            </w: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, &lt;18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- 4.5)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≥18, &lt;25.74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&gt;13.5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≥25.74, &lt;32.4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27.9 , &lt; 32.4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≤  12.6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  <w:r>
              <w:rPr>
                <w:lang w:eastAsia="en-GB"/>
              </w:rPr>
              <w:t>50 MHz</w:t>
            </w:r>
          </w:p>
        </w:tc>
        <w:tc>
          <w:tcPr>
            <w:tcW w:w="20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≥0, &lt;9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≥9, &lt;21.6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&gt;max (0, 12*SCS*RBend - 7.2)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≥21.6, &lt;31.5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≥31.5, &lt;39.6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≥39.6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11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&gt; 33.84, &lt; 39.6</w:t>
            </w:r>
          </w:p>
        </w:tc>
        <w:tc>
          <w:tcPr>
            <w:tcW w:w="2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≤ </w:t>
            </w:r>
            <w:r>
              <w:rPr>
                <w:rFonts w:eastAsia="Calibri" w:cs="Arial"/>
                <w:kern w:val="2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  <w14:textFill>
                  <w14:solidFill>
                    <w14:schemeClr w14:val="tx1"/>
                  </w14:solidFill>
                </w14:textFill>
              </w:rPr>
              <w:t>A10</w:t>
            </w:r>
          </w:p>
        </w:tc>
      </w:tr>
    </w:tbl>
    <w:p>
      <w:pPr>
        <w:pStyle w:val="30"/>
        <w:spacing w:after="0"/>
        <w:rPr>
          <w:lang w:eastAsia="zh-CN"/>
        </w:rPr>
      </w:pPr>
    </w:p>
    <w:p>
      <w:pPr>
        <w:pStyle w:val="30"/>
        <w:spacing w:after="0"/>
        <w:rPr>
          <w:lang w:eastAsia="zh-CN"/>
        </w:rPr>
      </w:pPr>
    </w:p>
    <w:p>
      <w:pPr>
        <w:pStyle w:val="66"/>
        <w:rPr>
          <w:b w:val="0"/>
          <w:bCs/>
          <w:lang w:val="en-US"/>
        </w:rPr>
      </w:pPr>
      <w:r>
        <w:rPr>
          <w:b w:val="0"/>
          <w:bCs/>
        </w:rPr>
        <w:t>Table 9: A-MPR for NS_46 for PC2</w:t>
      </w:r>
    </w:p>
    <w:tbl>
      <w:tblPr>
        <w:tblStyle w:val="44"/>
        <w:tblW w:w="10788" w:type="dxa"/>
        <w:tblInd w:w="-585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790"/>
        <w:gridCol w:w="1111"/>
        <w:gridCol w:w="1111"/>
        <w:gridCol w:w="1111"/>
        <w:gridCol w:w="1111"/>
        <w:gridCol w:w="1111"/>
        <w:gridCol w:w="1111"/>
        <w:gridCol w:w="1111"/>
        <w:gridCol w:w="99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02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4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A11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02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64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Outer/Inner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11.0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3.0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4.0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11.0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3.0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2.5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4.0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11.0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2.5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4.0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11.0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fi-FI" w:eastAsia="zh-CN"/>
              </w:rPr>
            </w:pPr>
            <w:r>
              <w:rPr>
                <w:lang w:val="fi-FI" w:eastAsia="zh-CN"/>
              </w:rPr>
              <w:t>3.5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 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7.5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11.0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5.0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fi-FI" w:eastAsia="zh-CN"/>
              </w:rPr>
            </w:pPr>
            <w:r>
              <w:rPr>
                <w:lang w:val="fi-FI" w:eastAsia="zh-CN"/>
              </w:rPr>
              <w:t>4.5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fi-FI" w:eastAsia="zh-CN"/>
              </w:rPr>
            </w:pPr>
            <w:r>
              <w:rPr>
                <w:lang w:val="fi-FI" w:eastAsia="zh-CN"/>
              </w:rPr>
              <w:t>4.5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6.5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6.0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fi-FI" w:eastAsia="zh-CN"/>
              </w:rPr>
            </w:pPr>
            <w:r>
              <w:rPr>
                <w:lang w:val="fi-FI" w:eastAsia="zh-CN"/>
              </w:rPr>
              <w:t>4.5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6.5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6.5 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8.5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 w:eastAsia="zh-CN"/>
              </w:rPr>
              <w:t>12.0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rPr>
                <w:lang w:val="en-US" w:eastAsia="zh-CN"/>
              </w:rPr>
            </w:pPr>
            <w:r>
              <w:rPr>
                <w:lang w:val="fi-FI" w:eastAsia="zh-CN"/>
              </w:rPr>
              <w:t>8</w:t>
            </w:r>
          </w:p>
        </w:tc>
        <w:tc>
          <w:tcPr>
            <w:tcW w:w="1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58"/>
              <w:rPr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>
            <w:pPr>
              <w:pStyle w:val="58"/>
              <w:jc w:val="left"/>
              <w:rPr>
                <w:lang w:val="en-US" w:eastAsia="zh-CN"/>
              </w:rPr>
            </w:pPr>
          </w:p>
        </w:tc>
      </w:tr>
    </w:tbl>
    <w:p>
      <w:pPr>
        <w:pStyle w:val="106"/>
        <w:ind w:left="0" w:firstLine="0"/>
      </w:pPr>
    </w:p>
    <w:p>
      <w:pPr>
        <w:numPr>
          <w:ilvl w:val="-1"/>
          <w:numId w:val="0"/>
        </w:numPr>
        <w:spacing w:after="120" w:afterLines="50"/>
        <w:ind w:left="0" w:firstLine="0"/>
        <w:rPr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/>
    <w:p>
      <w:pPr>
        <w:pStyle w:val="3"/>
        <w:rPr>
          <w:b/>
          <w:lang w:val="en-US"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 xml:space="preserve"> NS_12, NS_13, NS_14, NS_15 (A-MPR for n26 PC2)</w:t>
      </w:r>
      <w:r>
        <w:t>&gt;</w:t>
      </w:r>
    </w:p>
    <w:p>
      <w:pPr>
        <w:pStyle w:val="73"/>
        <w:overflowPunct/>
        <w:autoSpaceDE/>
        <w:autoSpaceDN/>
        <w:adjustRightInd/>
        <w:spacing w:after="120"/>
        <w:ind w:left="360" w:firstLine="0" w:firstLineChars="0"/>
        <w:textAlignment w:val="auto"/>
        <w:rPr>
          <w:lang w:eastAsia="zh-CN"/>
        </w:rPr>
      </w:pPr>
      <w:r>
        <w:rPr>
          <w:rFonts w:hint="eastAsia"/>
          <w:b/>
          <w:lang w:val="en-US" w:eastAsia="zh-CN"/>
        </w:rPr>
        <w:t>&lt;Way forward</w:t>
      </w:r>
      <w:r>
        <w:rPr>
          <w:b/>
          <w:lang w:eastAsia="zh-CN"/>
        </w:rPr>
        <w:t>&gt;</w:t>
      </w:r>
      <w:r>
        <w:rPr>
          <w:lang w:eastAsia="zh-CN"/>
        </w:rPr>
        <w:t>:</w:t>
      </w:r>
    </w:p>
    <w:p>
      <w:pPr>
        <w:pStyle w:val="73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lang w:val="en-US" w:eastAsia="zh-CN"/>
        </w:rPr>
        <w:t>Set a starting point</w:t>
      </w:r>
      <w:r>
        <w:rPr>
          <w:rFonts w:hint="eastAsia"/>
          <w:lang w:val="en-US" w:eastAsia="zh-CN"/>
        </w:rPr>
        <w:t xml:space="preserve"> for NS_12, NS_13, NS_14, NS_15 by merging the A-MPR regions and values in R4-2402214 and R4-2315374.</w:t>
      </w:r>
      <w:r>
        <w:rPr>
          <w:lang w:val="en-US" w:eastAsia="zh-CN"/>
        </w:rPr>
        <w:t xml:space="preserve"> New inputs can be still taken into consideration.</w:t>
      </w:r>
    </w:p>
    <w:p>
      <w:pPr>
        <w:spacing w:after="120"/>
        <w:rPr>
          <w:color w:val="0070C0"/>
          <w:szCs w:val="24"/>
          <w:lang w:eastAsia="zh-CN"/>
        </w:rPr>
      </w:pPr>
    </w:p>
    <w:p>
      <w:pPr>
        <w:pStyle w:val="73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pStyle w:val="66"/>
        <w:jc w:val="both"/>
        <w:rPr>
          <w:lang w:val="en-US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 xml:space="preserve"> NS_06 (A-MPR for n13, n14, n85 PC2)</w:t>
      </w:r>
      <w:r>
        <w:t>&gt;</w:t>
      </w:r>
    </w:p>
    <w:p>
      <w:pPr>
        <w:spacing w:after="120" w:afterLines="50"/>
        <w:rPr>
          <w:b/>
          <w:lang w:val="en-US" w:eastAsia="zh-CN"/>
        </w:rPr>
      </w:pPr>
      <w:r>
        <w:rPr>
          <w:b/>
          <w:lang w:eastAsia="zh-CN"/>
        </w:rPr>
        <w:t>&lt;</w:t>
      </w:r>
      <w:r>
        <w:rPr>
          <w:rFonts w:hint="eastAsia"/>
          <w:b/>
          <w:lang w:val="en-US" w:eastAsia="zh-CN"/>
        </w:rPr>
        <w:t>Agreement</w:t>
      </w:r>
      <w:r>
        <w:rPr>
          <w:b/>
          <w:lang w:eastAsia="zh-CN"/>
        </w:rPr>
        <w:t>&gt;:</w:t>
      </w:r>
      <w:r>
        <w:rPr>
          <w:rFonts w:hint="eastAsia"/>
          <w:b/>
          <w:lang w:val="en-US" w:eastAsia="zh-CN"/>
        </w:rPr>
        <w:t xml:space="preserve"> </w:t>
      </w:r>
    </w:p>
    <w:p>
      <w:pPr>
        <w:spacing w:after="120"/>
        <w:rPr>
          <w:color w:val="0070C0"/>
          <w:szCs w:val="24"/>
          <w:lang w:eastAsia="zh-CN"/>
        </w:rPr>
      </w:pPr>
      <w:r>
        <w:t>Introduce A-MPR for outer allocations by specifying Table 2 for NS_06.</w:t>
      </w:r>
    </w:p>
    <w:p>
      <w:pPr>
        <w:pStyle w:val="66"/>
        <w:rPr>
          <w:b w:val="0"/>
          <w:bCs/>
          <w:lang w:val="en-US"/>
        </w:rPr>
      </w:pPr>
      <w:r>
        <w:rPr>
          <w:b w:val="0"/>
          <w:bCs/>
          <w:lang w:val="en-US"/>
        </w:rPr>
        <w:t>Table 2: A-MPR for NS_06 (Power Class 2)</w:t>
      </w:r>
    </w:p>
    <w:tbl>
      <w:tblPr>
        <w:tblStyle w:val="44"/>
        <w:tblW w:w="4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155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61" w:type="dxa"/>
            <w:gridSpan w:val="2"/>
            <w:shd w:val="clear" w:color="auto" w:fill="auto"/>
            <w:noWrap/>
          </w:tcPr>
          <w:p>
            <w:pPr>
              <w:pStyle w:val="64"/>
              <w:rPr>
                <w:lang w:val="fi-FI"/>
              </w:rPr>
            </w:pPr>
            <w:r>
              <w:t>Modulation/Waveform</w:t>
            </w:r>
          </w:p>
        </w:tc>
        <w:tc>
          <w:tcPr>
            <w:tcW w:w="2277" w:type="dxa"/>
          </w:tcPr>
          <w:p>
            <w:pPr>
              <w:pStyle w:val="64"/>
            </w:pPr>
            <w:r>
              <w:t>Outer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>
            <w:pPr>
              <w:pStyle w:val="58"/>
            </w:pPr>
            <w:r>
              <w:t>DFT-s-OFDM</w:t>
            </w: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Pi/2 BPSK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>
            <w:pPr>
              <w:pStyle w:val="58"/>
            </w:pPr>
            <w:r>
              <w:t>CP-OFDM</w:t>
            </w: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>
            <w:pPr>
              <w:pStyle w:val="58"/>
            </w:pPr>
          </w:p>
        </w:tc>
        <w:tc>
          <w:tcPr>
            <w:tcW w:w="1482" w:type="dxa"/>
            <w:shd w:val="clear" w:color="auto" w:fill="auto"/>
          </w:tcPr>
          <w:p>
            <w:pPr>
              <w:pStyle w:val="58"/>
            </w:pPr>
            <w:r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>
            <w:pPr>
              <w:pStyle w:val="58"/>
            </w:pPr>
            <w:r>
              <w:t>≤ 6.5</w:t>
            </w:r>
          </w:p>
        </w:tc>
      </w:tr>
    </w:tbl>
    <w:p>
      <w:pPr>
        <w:pStyle w:val="66"/>
        <w:jc w:val="left"/>
        <w:rPr>
          <w:lang w:val="en-US"/>
        </w:rPr>
      </w:pPr>
      <w:r>
        <w:rPr>
          <w:rFonts w:hint="default" w:ascii="Times New Roman" w:hAnsi="Times New Roman"/>
          <w:b w:val="0"/>
          <w:lang w:val="en-GB"/>
        </w:rPr>
        <w:t>Sub-topic 1-6 has been completed at this meeting with the approval of the TP in R4-2403625.</w:t>
      </w:r>
    </w:p>
    <w:p>
      <w:pPr>
        <w:pStyle w:val="66"/>
        <w:jc w:val="left"/>
        <w:rPr>
          <w:lang w:val="en-US"/>
        </w:rPr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[1] R4-2401072 Topic summary for [110][113] HPUE_Basket_FDD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Moderator (China Unicom)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RAN4-110</w:t>
      </w:r>
    </w:p>
    <w:p>
      <w:pPr>
        <w:pStyle w:val="66"/>
        <w:jc w:val="left"/>
        <w:rPr>
          <w:lang w:val="en-US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23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8C866A"/>
    <w:multiLevelType w:val="singleLevel"/>
    <w:tmpl w:val="8E8C866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4950C89"/>
    <w:multiLevelType w:val="singleLevel"/>
    <w:tmpl w:val="04950C8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A053B90"/>
    <w:multiLevelType w:val="multilevel"/>
    <w:tmpl w:val="2A053B90"/>
    <w:lvl w:ilvl="0" w:tentative="0">
      <w:start w:val="1"/>
      <w:numFmt w:val="bullet"/>
      <w:lvlText w:val="•"/>
      <w:lvlJc w:val="left"/>
      <w:pPr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4AB2E60F"/>
    <w:multiLevelType w:val="singleLevel"/>
    <w:tmpl w:val="4AB2E60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DCE2D9C"/>
    <w:multiLevelType w:val="multilevel"/>
    <w:tmpl w:val="4DCE2D9C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attachedTemplate r:id="rId1"/>
  <w:trackRevisions w:val="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BD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7D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3B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12B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35D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80B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AE8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73A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4D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C5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37B"/>
    <w:rsid w:val="002701F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1CA3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46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684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248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FE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3E74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052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4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EDC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987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B9C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4E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599"/>
    <w:rsid w:val="005F43E7"/>
    <w:rsid w:val="005F466E"/>
    <w:rsid w:val="005F5231"/>
    <w:rsid w:val="005F5C82"/>
    <w:rsid w:val="005F6E45"/>
    <w:rsid w:val="005F797D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189"/>
    <w:rsid w:val="006147E3"/>
    <w:rsid w:val="006148A7"/>
    <w:rsid w:val="00615093"/>
    <w:rsid w:val="00615713"/>
    <w:rsid w:val="00615A4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913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F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ACE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2A1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F39"/>
    <w:rsid w:val="00744F44"/>
    <w:rsid w:val="0074568D"/>
    <w:rsid w:val="00746350"/>
    <w:rsid w:val="00750C5F"/>
    <w:rsid w:val="00751418"/>
    <w:rsid w:val="007518C7"/>
    <w:rsid w:val="00751C86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4D7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178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4B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9B1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164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9CF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1EF2"/>
    <w:rsid w:val="009023F4"/>
    <w:rsid w:val="00902927"/>
    <w:rsid w:val="00902D50"/>
    <w:rsid w:val="00903940"/>
    <w:rsid w:val="00903A60"/>
    <w:rsid w:val="009049F1"/>
    <w:rsid w:val="0090527F"/>
    <w:rsid w:val="00905C37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19B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03B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18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ED1"/>
    <w:rsid w:val="009E5F59"/>
    <w:rsid w:val="009E628C"/>
    <w:rsid w:val="009E6778"/>
    <w:rsid w:val="009F0362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305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4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FB2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97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590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7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0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87D"/>
    <w:rsid w:val="00B448DC"/>
    <w:rsid w:val="00B455A2"/>
    <w:rsid w:val="00B4663B"/>
    <w:rsid w:val="00B47976"/>
    <w:rsid w:val="00B50063"/>
    <w:rsid w:val="00B50A54"/>
    <w:rsid w:val="00B51211"/>
    <w:rsid w:val="00B51400"/>
    <w:rsid w:val="00B51F6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841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5A"/>
    <w:rsid w:val="00B85811"/>
    <w:rsid w:val="00B85E90"/>
    <w:rsid w:val="00B867CD"/>
    <w:rsid w:val="00B86BC8"/>
    <w:rsid w:val="00B86DC9"/>
    <w:rsid w:val="00B877CB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67E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5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A42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052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E55"/>
    <w:rsid w:val="00CE5F94"/>
    <w:rsid w:val="00CE6E8B"/>
    <w:rsid w:val="00CE7187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B5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5E3A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9D8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742"/>
    <w:rsid w:val="00DE7F4F"/>
    <w:rsid w:val="00DF0DB4"/>
    <w:rsid w:val="00DF1313"/>
    <w:rsid w:val="00DF2FE7"/>
    <w:rsid w:val="00DF3939"/>
    <w:rsid w:val="00DF44DC"/>
    <w:rsid w:val="00DF4D5D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08C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979"/>
    <w:rsid w:val="00E647F5"/>
    <w:rsid w:val="00E64989"/>
    <w:rsid w:val="00E6535F"/>
    <w:rsid w:val="00E6619C"/>
    <w:rsid w:val="00E6673E"/>
    <w:rsid w:val="00E671E3"/>
    <w:rsid w:val="00E675CD"/>
    <w:rsid w:val="00E67E6F"/>
    <w:rsid w:val="00E70088"/>
    <w:rsid w:val="00E70211"/>
    <w:rsid w:val="00E70B90"/>
    <w:rsid w:val="00E70CDF"/>
    <w:rsid w:val="00E71CF2"/>
    <w:rsid w:val="00E72A01"/>
    <w:rsid w:val="00E72A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C05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226"/>
    <w:rsid w:val="00F27B6B"/>
    <w:rsid w:val="00F3104E"/>
    <w:rsid w:val="00F31ECA"/>
    <w:rsid w:val="00F335A8"/>
    <w:rsid w:val="00F33A72"/>
    <w:rsid w:val="00F34055"/>
    <w:rsid w:val="00F34E11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0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02E"/>
    <w:rsid w:val="00F64438"/>
    <w:rsid w:val="00F64978"/>
    <w:rsid w:val="00F649A0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2DCE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FE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62A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751DBA"/>
    <w:rsid w:val="017C6D0A"/>
    <w:rsid w:val="024C2710"/>
    <w:rsid w:val="02B01E19"/>
    <w:rsid w:val="02EE7BE2"/>
    <w:rsid w:val="02F27E07"/>
    <w:rsid w:val="03CF40CB"/>
    <w:rsid w:val="03E55313"/>
    <w:rsid w:val="046A1781"/>
    <w:rsid w:val="04A610B0"/>
    <w:rsid w:val="04A953C1"/>
    <w:rsid w:val="05B8748E"/>
    <w:rsid w:val="066D6793"/>
    <w:rsid w:val="06EE493D"/>
    <w:rsid w:val="06FD7006"/>
    <w:rsid w:val="079A0685"/>
    <w:rsid w:val="08DF72DC"/>
    <w:rsid w:val="09654E76"/>
    <w:rsid w:val="0A024FF7"/>
    <w:rsid w:val="0B194841"/>
    <w:rsid w:val="0B4A3E51"/>
    <w:rsid w:val="0BE26ED4"/>
    <w:rsid w:val="0D481D10"/>
    <w:rsid w:val="0DDF6D7E"/>
    <w:rsid w:val="0E69173A"/>
    <w:rsid w:val="0E865CF4"/>
    <w:rsid w:val="0FD90DA6"/>
    <w:rsid w:val="104C32F3"/>
    <w:rsid w:val="10BE10ED"/>
    <w:rsid w:val="10E130BF"/>
    <w:rsid w:val="10E53644"/>
    <w:rsid w:val="126A751A"/>
    <w:rsid w:val="12715E10"/>
    <w:rsid w:val="131F0F9E"/>
    <w:rsid w:val="13305A02"/>
    <w:rsid w:val="13466174"/>
    <w:rsid w:val="14866E4C"/>
    <w:rsid w:val="160D0B3E"/>
    <w:rsid w:val="17787F70"/>
    <w:rsid w:val="17A162C2"/>
    <w:rsid w:val="17B0376D"/>
    <w:rsid w:val="1890016F"/>
    <w:rsid w:val="18D812E1"/>
    <w:rsid w:val="19EF056A"/>
    <w:rsid w:val="1A2278D9"/>
    <w:rsid w:val="1A8D0AA7"/>
    <w:rsid w:val="1BEF0D4E"/>
    <w:rsid w:val="1C5A72B4"/>
    <w:rsid w:val="1C730FDE"/>
    <w:rsid w:val="1D2B2172"/>
    <w:rsid w:val="1DD71083"/>
    <w:rsid w:val="1FFE003E"/>
    <w:rsid w:val="20B84EBC"/>
    <w:rsid w:val="20C15408"/>
    <w:rsid w:val="20DE4E3A"/>
    <w:rsid w:val="214C56AE"/>
    <w:rsid w:val="21DE311D"/>
    <w:rsid w:val="23045086"/>
    <w:rsid w:val="23FC3C9B"/>
    <w:rsid w:val="25A5262A"/>
    <w:rsid w:val="26154EB4"/>
    <w:rsid w:val="263712CE"/>
    <w:rsid w:val="26BC301B"/>
    <w:rsid w:val="284C1346"/>
    <w:rsid w:val="2A1131F0"/>
    <w:rsid w:val="2B186696"/>
    <w:rsid w:val="2B6C0AE3"/>
    <w:rsid w:val="2BDF47CE"/>
    <w:rsid w:val="2D74208E"/>
    <w:rsid w:val="2EDB42EF"/>
    <w:rsid w:val="2FCC5A71"/>
    <w:rsid w:val="30D8545C"/>
    <w:rsid w:val="318757A5"/>
    <w:rsid w:val="33396201"/>
    <w:rsid w:val="34436A1F"/>
    <w:rsid w:val="344C44EB"/>
    <w:rsid w:val="359270B5"/>
    <w:rsid w:val="35E136DB"/>
    <w:rsid w:val="36440A18"/>
    <w:rsid w:val="36B16619"/>
    <w:rsid w:val="37903539"/>
    <w:rsid w:val="37ED6F5E"/>
    <w:rsid w:val="38480E77"/>
    <w:rsid w:val="3A6C4AD1"/>
    <w:rsid w:val="3BC75354"/>
    <w:rsid w:val="3C6A11AE"/>
    <w:rsid w:val="3DD859EA"/>
    <w:rsid w:val="3DE5322B"/>
    <w:rsid w:val="3E3C184F"/>
    <w:rsid w:val="3F6A6298"/>
    <w:rsid w:val="40761740"/>
    <w:rsid w:val="42E87348"/>
    <w:rsid w:val="42F7646A"/>
    <w:rsid w:val="4387297E"/>
    <w:rsid w:val="438D2A60"/>
    <w:rsid w:val="44457410"/>
    <w:rsid w:val="452B173B"/>
    <w:rsid w:val="45E71F71"/>
    <w:rsid w:val="47486DFD"/>
    <w:rsid w:val="47DB5B06"/>
    <w:rsid w:val="48245202"/>
    <w:rsid w:val="48912FDD"/>
    <w:rsid w:val="495639C3"/>
    <w:rsid w:val="4A0D65D2"/>
    <w:rsid w:val="4A691851"/>
    <w:rsid w:val="4AA94B8B"/>
    <w:rsid w:val="4ADF17E2"/>
    <w:rsid w:val="4BC5254A"/>
    <w:rsid w:val="4C7659BB"/>
    <w:rsid w:val="4D4C1904"/>
    <w:rsid w:val="4F0125CA"/>
    <w:rsid w:val="4FD10381"/>
    <w:rsid w:val="511B2F05"/>
    <w:rsid w:val="513144BA"/>
    <w:rsid w:val="52715B72"/>
    <w:rsid w:val="527C0824"/>
    <w:rsid w:val="531371D9"/>
    <w:rsid w:val="53A15B43"/>
    <w:rsid w:val="541C372E"/>
    <w:rsid w:val="544D0DB0"/>
    <w:rsid w:val="54CD52B0"/>
    <w:rsid w:val="550A4EC4"/>
    <w:rsid w:val="56AB1820"/>
    <w:rsid w:val="56B37F4E"/>
    <w:rsid w:val="570D0380"/>
    <w:rsid w:val="574C17A5"/>
    <w:rsid w:val="57F94CA8"/>
    <w:rsid w:val="585C0985"/>
    <w:rsid w:val="58772ABA"/>
    <w:rsid w:val="58F22CAF"/>
    <w:rsid w:val="59B81C19"/>
    <w:rsid w:val="59C62DD0"/>
    <w:rsid w:val="5A0509C4"/>
    <w:rsid w:val="5A3924EB"/>
    <w:rsid w:val="5A6E746B"/>
    <w:rsid w:val="5B7C541C"/>
    <w:rsid w:val="5BB2550F"/>
    <w:rsid w:val="5C50666A"/>
    <w:rsid w:val="5F133B3B"/>
    <w:rsid w:val="5F6A0B17"/>
    <w:rsid w:val="5FA4390C"/>
    <w:rsid w:val="606232AE"/>
    <w:rsid w:val="61B559C7"/>
    <w:rsid w:val="62CE4CAA"/>
    <w:rsid w:val="63BF15E7"/>
    <w:rsid w:val="63D85AE3"/>
    <w:rsid w:val="64084597"/>
    <w:rsid w:val="648F3388"/>
    <w:rsid w:val="65E3553C"/>
    <w:rsid w:val="65EC7E41"/>
    <w:rsid w:val="661C3E14"/>
    <w:rsid w:val="66DE1953"/>
    <w:rsid w:val="68701E42"/>
    <w:rsid w:val="69B047D3"/>
    <w:rsid w:val="69C15A70"/>
    <w:rsid w:val="6A616455"/>
    <w:rsid w:val="6B8C547F"/>
    <w:rsid w:val="6C682001"/>
    <w:rsid w:val="6D637604"/>
    <w:rsid w:val="6E457519"/>
    <w:rsid w:val="6E4A2044"/>
    <w:rsid w:val="6F2B2C29"/>
    <w:rsid w:val="70D51AE1"/>
    <w:rsid w:val="71B132D2"/>
    <w:rsid w:val="72E05D86"/>
    <w:rsid w:val="73726921"/>
    <w:rsid w:val="73D12920"/>
    <w:rsid w:val="7416168B"/>
    <w:rsid w:val="74AA1E38"/>
    <w:rsid w:val="756F79E9"/>
    <w:rsid w:val="7665729C"/>
    <w:rsid w:val="770039F9"/>
    <w:rsid w:val="77A87288"/>
    <w:rsid w:val="77AF3096"/>
    <w:rsid w:val="79F37E22"/>
    <w:rsid w:val="7A5F16D0"/>
    <w:rsid w:val="7B146EC2"/>
    <w:rsid w:val="7BA55CAA"/>
    <w:rsid w:val="7C331E95"/>
    <w:rsid w:val="7C521269"/>
    <w:rsid w:val="7CCA3477"/>
    <w:rsid w:val="7E167E4E"/>
    <w:rsid w:val="7E4B28BD"/>
    <w:rsid w:val="7EB06559"/>
    <w:rsid w:val="7F5027ED"/>
    <w:rsid w:val="7FC34A69"/>
    <w:rsid w:val="7FFD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1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2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2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1"/>
    <w:qFormat/>
    <w:uiPriority w:val="0"/>
    <w:pPr>
      <w:jc w:val="center"/>
    </w:pPr>
    <w:rPr>
      <w:i/>
    </w:rPr>
  </w:style>
  <w:style w:type="paragraph" w:styleId="36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Hyperlink"/>
    <w:unhideWhenUsed/>
    <w:qFormat/>
    <w:uiPriority w:val="99"/>
    <w:rPr>
      <w:color w:val="0000FF"/>
      <w:u w:val="single"/>
    </w:rPr>
  </w:style>
  <w:style w:type="character" w:styleId="48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2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8">
    <w:name w:val="TAC"/>
    <w:basedOn w:val="59"/>
    <w:link w:val="60"/>
    <w:qFormat/>
    <w:uiPriority w:val="0"/>
    <w:pPr>
      <w:jc w:val="center"/>
    </w:pPr>
  </w:style>
  <w:style w:type="paragraph" w:customStyle="1" w:styleId="59">
    <w:name w:val="TAL"/>
    <w:basedOn w:val="1"/>
    <w:link w:val="6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C Char"/>
    <w:link w:val="58"/>
    <w:qFormat/>
    <w:uiPriority w:val="0"/>
    <w:rPr>
      <w:rFonts w:ascii="Arial" w:hAnsi="Arial" w:eastAsia="Times New Roman"/>
      <w:sz w:val="18"/>
    </w:rPr>
  </w:style>
  <w:style w:type="character" w:customStyle="1" w:styleId="61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2">
    <w:name w:val="Balloon Text Char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3">
    <w:name w:val="TAL Car"/>
    <w:link w:val="59"/>
    <w:qFormat/>
    <w:locked/>
    <w:uiPriority w:val="0"/>
    <w:rPr>
      <w:rFonts w:ascii="Arial" w:hAnsi="Arial" w:eastAsia="Times New Roman"/>
      <w:sz w:val="18"/>
    </w:rPr>
  </w:style>
  <w:style w:type="paragraph" w:customStyle="1" w:styleId="64">
    <w:name w:val="TAH"/>
    <w:basedOn w:val="58"/>
    <w:link w:val="68"/>
    <w:qFormat/>
    <w:uiPriority w:val="0"/>
    <w:rPr>
      <w:b/>
    </w:rPr>
  </w:style>
  <w:style w:type="character" w:customStyle="1" w:styleId="65">
    <w:name w:val="TH Char"/>
    <w:link w:val="66"/>
    <w:qFormat/>
    <w:locked/>
    <w:uiPriority w:val="0"/>
    <w:rPr>
      <w:rFonts w:ascii="Arial" w:hAnsi="Arial" w:eastAsia="Times New Roman"/>
      <w:b/>
    </w:rPr>
  </w:style>
  <w:style w:type="paragraph" w:customStyle="1" w:styleId="66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TAN"/>
    <w:basedOn w:val="59"/>
    <w:link w:val="69"/>
    <w:qFormat/>
    <w:uiPriority w:val="0"/>
    <w:pPr>
      <w:ind w:left="851" w:hanging="851"/>
    </w:pPr>
  </w:style>
  <w:style w:type="character" w:customStyle="1" w:styleId="68">
    <w:name w:val="TAH Car"/>
    <w:link w:val="64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TAN Char"/>
    <w:link w:val="67"/>
    <w:qFormat/>
    <w:uiPriority w:val="0"/>
    <w:rPr>
      <w:rFonts w:ascii="Arial" w:hAnsi="Arial" w:eastAsia="Times New Roman"/>
      <w:sz w:val="18"/>
    </w:rPr>
  </w:style>
  <w:style w:type="character" w:customStyle="1" w:styleId="70">
    <w:name w:val="Header Char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1">
    <w:name w:val="Footer Char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2">
    <w:name w:val="Date Char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3">
    <w:name w:val="List Paragraph"/>
    <w:basedOn w:val="1"/>
    <w:qFormat/>
    <w:uiPriority w:val="34"/>
    <w:pPr>
      <w:ind w:firstLine="420" w:firstLineChars="200"/>
    </w:pPr>
  </w:style>
  <w:style w:type="character" w:customStyle="1" w:styleId="74">
    <w:name w:val="texhtml"/>
    <w:basedOn w:val="46"/>
    <w:qFormat/>
    <w:uiPriority w:val="0"/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TT"/>
    <w:basedOn w:val="2"/>
    <w:next w:val="1"/>
    <w:qFormat/>
    <w:uiPriority w:val="0"/>
    <w:pPr>
      <w:outlineLvl w:val="9"/>
    </w:pPr>
  </w:style>
  <w:style w:type="character" w:customStyle="1" w:styleId="78">
    <w:name w:val="Footnote Text Char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9">
    <w:name w:val="TF"/>
    <w:basedOn w:val="66"/>
    <w:qFormat/>
    <w:uiPriority w:val="0"/>
    <w:pPr>
      <w:keepNext w:val="0"/>
      <w:spacing w:before="0" w:after="240"/>
    </w:pPr>
  </w:style>
  <w:style w:type="paragraph" w:customStyle="1" w:styleId="80">
    <w:name w:val="NO"/>
    <w:basedOn w:val="1"/>
    <w:qFormat/>
    <w:uiPriority w:val="0"/>
    <w:pPr>
      <w:keepLines/>
      <w:ind w:left="1135" w:hanging="851"/>
    </w:pPr>
  </w:style>
  <w:style w:type="paragraph" w:customStyle="1" w:styleId="81">
    <w:name w:val="EX"/>
    <w:basedOn w:val="1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9">
    <w:name w:val="TAR"/>
    <w:basedOn w:val="59"/>
    <w:qFormat/>
    <w:uiPriority w:val="0"/>
    <w:pPr>
      <w:jc w:val="right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Editor's Note"/>
    <w:basedOn w:val="80"/>
    <w:qFormat/>
    <w:uiPriority w:val="0"/>
    <w:rPr>
      <w:color w:val="FF0000"/>
    </w:rPr>
  </w:style>
  <w:style w:type="paragraph" w:customStyle="1" w:styleId="98">
    <w:name w:val="B1"/>
    <w:basedOn w:val="14"/>
    <w:qFormat/>
    <w:uiPriority w:val="0"/>
  </w:style>
  <w:style w:type="paragraph" w:customStyle="1" w:styleId="99">
    <w:name w:val="B2"/>
    <w:basedOn w:val="13"/>
    <w:qFormat/>
    <w:uiPriority w:val="0"/>
  </w:style>
  <w:style w:type="paragraph" w:customStyle="1" w:styleId="100">
    <w:name w:val="B3"/>
    <w:basedOn w:val="12"/>
    <w:qFormat/>
    <w:uiPriority w:val="0"/>
  </w:style>
  <w:style w:type="paragraph" w:customStyle="1" w:styleId="101">
    <w:name w:val="B4"/>
    <w:basedOn w:val="39"/>
    <w:qFormat/>
    <w:uiPriority w:val="0"/>
  </w:style>
  <w:style w:type="paragraph" w:customStyle="1" w:styleId="102">
    <w:name w:val="B5"/>
    <w:basedOn w:val="38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character" w:customStyle="1" w:styleId="104">
    <w:name w:val="fontstyle01"/>
    <w:basedOn w:val="46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105">
    <w:name w:val="fontstyle21"/>
    <w:basedOn w:val="46"/>
    <w:qFormat/>
    <w:uiPriority w:val="0"/>
    <w:rPr>
      <w:rFonts w:hint="default" w:ascii="T23" w:hAnsi="T23"/>
      <w:color w:val="000000"/>
      <w:sz w:val="20"/>
      <w:szCs w:val="20"/>
    </w:rPr>
  </w:style>
  <w:style w:type="paragraph" w:customStyle="1" w:styleId="106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  <w:style w:type="paragraph" w:customStyle="1" w:styleId="10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8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9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986</Words>
  <Characters>5626</Characters>
  <Lines>46</Lines>
  <Paragraphs>13</Paragraphs>
  <TotalTime>4</TotalTime>
  <ScaleCrop>false</ScaleCrop>
  <LinksUpToDate>false</LinksUpToDate>
  <CharactersWithSpaces>6599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2024-02-29T14:25:00Z</dcterms:created>
  <dc:creator>Dai Xizeng</dc:creator>
  <cp:lastModifiedBy>unicom</cp:lastModifiedBy>
  <dcterms:modified xsi:type="dcterms:W3CDTF">2024-03-01T06:39:15Z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2052-11.8.2.12085</vt:lpwstr>
  </property>
  <property fmtid="{D5CDD505-2E9C-101B-9397-08002B2CF9AE}" pid="14" name="ICV">
    <vt:lpwstr>6EA6789A379B469B9CEF8C234AB8D1D9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1709021694</vt:lpwstr>
  </property>
</Properties>
</file>